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A421B" w14:textId="77777777" w:rsidR="008B06D8" w:rsidRDefault="00DE7915" w:rsidP="00DE7915">
      <w:pPr>
        <w:pStyle w:val="ListParagraph"/>
        <w:numPr>
          <w:ilvl w:val="0"/>
          <w:numId w:val="1"/>
        </w:numPr>
      </w:pPr>
      <w:r>
        <w:t>Changing environment</w:t>
      </w:r>
    </w:p>
    <w:p w14:paraId="6686E69D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Ocean acidification</w:t>
      </w:r>
    </w:p>
    <w:p w14:paraId="604A08F3" w14:textId="77777777" w:rsidR="00DE7915" w:rsidRDefault="00DE7915" w:rsidP="00DE7915">
      <w:pPr>
        <w:pStyle w:val="ListParagraph"/>
        <w:numPr>
          <w:ilvl w:val="2"/>
          <w:numId w:val="1"/>
        </w:numPr>
      </w:pPr>
      <w:r>
        <w:t>DIC</w:t>
      </w:r>
    </w:p>
    <w:p w14:paraId="7D4CF23D" w14:textId="12D99C37" w:rsidR="009D7944" w:rsidRDefault="009D7944" w:rsidP="009D7944">
      <w:pPr>
        <w:pStyle w:val="ListParagraph"/>
        <w:numPr>
          <w:ilvl w:val="3"/>
          <w:numId w:val="1"/>
        </w:numPr>
      </w:pPr>
      <w:r>
        <w:t>Anthropogenic DIC input has contributed to increased corrosivity of Puget Sound waters (Feely et al. 2010)</w:t>
      </w:r>
    </w:p>
    <w:p w14:paraId="13462C0B" w14:textId="77777777" w:rsidR="00DE7915" w:rsidRDefault="00DE7915" w:rsidP="00DE7915">
      <w:pPr>
        <w:pStyle w:val="ListParagraph"/>
        <w:numPr>
          <w:ilvl w:val="2"/>
          <w:numId w:val="1"/>
        </w:numPr>
      </w:pPr>
      <w:r>
        <w:t>TA</w:t>
      </w:r>
    </w:p>
    <w:p w14:paraId="39EEA8F0" w14:textId="13D3C9D2" w:rsidR="009D7944" w:rsidRDefault="009D7944" w:rsidP="009D7944">
      <w:pPr>
        <w:pStyle w:val="ListParagraph"/>
        <w:numPr>
          <w:ilvl w:val="3"/>
          <w:numId w:val="1"/>
        </w:numPr>
      </w:pPr>
      <w:r>
        <w:t>Higher TA of PS waters compared to open ocean make relative contribution of increased DIC to OA less (Feely et al. 2010)</w:t>
      </w:r>
    </w:p>
    <w:p w14:paraId="06146CB4" w14:textId="77777777" w:rsidR="00DE7915" w:rsidRDefault="00DE7915" w:rsidP="00DE7915">
      <w:pPr>
        <w:pStyle w:val="ListParagraph"/>
        <w:numPr>
          <w:ilvl w:val="2"/>
          <w:numId w:val="1"/>
        </w:numPr>
      </w:pPr>
      <w:r>
        <w:t xml:space="preserve">Omega </w:t>
      </w:r>
    </w:p>
    <w:p w14:paraId="414AA5C6" w14:textId="3476502D" w:rsidR="009D7944" w:rsidRDefault="009D7944" w:rsidP="009D7944">
      <w:pPr>
        <w:pStyle w:val="ListParagraph"/>
        <w:numPr>
          <w:ilvl w:val="3"/>
          <w:numId w:val="1"/>
        </w:numPr>
      </w:pPr>
      <w:r>
        <w:t>In both winter and summer, PS waters are undersaturated wrt aragonite (Feely et al. 2010)</w:t>
      </w:r>
    </w:p>
    <w:p w14:paraId="49969776" w14:textId="3CA5234E" w:rsidR="00E91746" w:rsidRDefault="00E91746" w:rsidP="009D7944">
      <w:pPr>
        <w:pStyle w:val="ListParagraph"/>
        <w:numPr>
          <w:ilvl w:val="3"/>
          <w:numId w:val="1"/>
        </w:numPr>
      </w:pPr>
      <w:r>
        <w:t>Waters in the CCS are become increasingly less saturated wrt aragonite (frequently under 2) compared to pre-industrial; also strong seasonal influence – especially low in summer and winter (Hauri et al. 2009)</w:t>
      </w:r>
    </w:p>
    <w:p w14:paraId="2D1B12F9" w14:textId="71EEC845" w:rsidR="006F0DE5" w:rsidRDefault="006F0DE5" w:rsidP="009D7944">
      <w:pPr>
        <w:pStyle w:val="ListParagraph"/>
        <w:numPr>
          <w:ilvl w:val="3"/>
          <w:numId w:val="1"/>
        </w:numPr>
      </w:pPr>
      <w:r>
        <w:t>Formation is thermodynamically favored when available Ca and CO3, but increased CO2 decreases availability of CO3</w:t>
      </w:r>
    </w:p>
    <w:p w14:paraId="218B05F2" w14:textId="06675A3E" w:rsidR="00855D11" w:rsidRDefault="00855D11" w:rsidP="009D7944">
      <w:pPr>
        <w:pStyle w:val="ListParagraph"/>
        <w:numPr>
          <w:ilvl w:val="3"/>
          <w:numId w:val="1"/>
        </w:numPr>
      </w:pPr>
      <w:r>
        <w:t>Exposure to low saturation states during spawning result in decreased production later (Barton et al. in press)</w:t>
      </w:r>
    </w:p>
    <w:p w14:paraId="589AEC89" w14:textId="77777777" w:rsidR="00DE7915" w:rsidRDefault="00DE7915" w:rsidP="00DE7915">
      <w:pPr>
        <w:pStyle w:val="ListParagraph"/>
        <w:numPr>
          <w:ilvl w:val="2"/>
          <w:numId w:val="1"/>
        </w:numPr>
      </w:pPr>
      <w:r>
        <w:t>Carbonate chemistry in the near-shore environment</w:t>
      </w:r>
    </w:p>
    <w:p w14:paraId="4578D5F8" w14:textId="729F950A" w:rsidR="00BF5652" w:rsidRDefault="00BF5652" w:rsidP="00BF5652">
      <w:pPr>
        <w:pStyle w:val="ListParagraph"/>
        <w:numPr>
          <w:ilvl w:val="3"/>
          <w:numId w:val="1"/>
        </w:numPr>
      </w:pPr>
      <w:r>
        <w:t>CO2 radiative forcing will decrease early season wind stress and upwelling and increase peak- and late-season in northern CA Current (Diffenbaugh et al. 2004).</w:t>
      </w:r>
    </w:p>
    <w:p w14:paraId="4A7137FC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Contaminants</w:t>
      </w:r>
    </w:p>
    <w:p w14:paraId="747D8DD1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Acclimatization and Adaptation</w:t>
      </w:r>
    </w:p>
    <w:p w14:paraId="0FB691E0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Physiology</w:t>
      </w:r>
    </w:p>
    <w:p w14:paraId="3148D20C" w14:textId="403BBAF3" w:rsidR="007F0B82" w:rsidRDefault="007F0B82" w:rsidP="00DE7915">
      <w:pPr>
        <w:pStyle w:val="ListParagraph"/>
        <w:numPr>
          <w:ilvl w:val="2"/>
          <w:numId w:val="1"/>
        </w:numPr>
      </w:pPr>
      <w:r>
        <w:t>Energy</w:t>
      </w:r>
    </w:p>
    <w:p w14:paraId="51AEF6B7" w14:textId="0B9E3AAB" w:rsidR="007F0B82" w:rsidRDefault="007F0B82" w:rsidP="007F0B82">
      <w:pPr>
        <w:pStyle w:val="ListParagraph"/>
        <w:numPr>
          <w:ilvl w:val="3"/>
          <w:numId w:val="1"/>
        </w:numPr>
      </w:pPr>
      <w:r>
        <w:t>Decreased expression of ATPases in larval urchins could signal shift to more efficient transporters (Todgham &amp; Hofmann)</w:t>
      </w:r>
    </w:p>
    <w:p w14:paraId="6A06F718" w14:textId="77777777" w:rsidR="00DE7915" w:rsidRDefault="00DE7915" w:rsidP="00DE7915">
      <w:pPr>
        <w:pStyle w:val="ListParagraph"/>
        <w:numPr>
          <w:ilvl w:val="2"/>
          <w:numId w:val="1"/>
        </w:numPr>
      </w:pPr>
      <w:r>
        <w:t>Intracellular and extracellular pH</w:t>
      </w:r>
    </w:p>
    <w:p w14:paraId="5FAF7BD7" w14:textId="737473E5" w:rsidR="00EA3DBB" w:rsidRDefault="00EA3DBB" w:rsidP="00EA3DBB">
      <w:pPr>
        <w:pStyle w:val="ListParagraph"/>
        <w:numPr>
          <w:ilvl w:val="3"/>
          <w:numId w:val="1"/>
        </w:numPr>
      </w:pPr>
      <w:r>
        <w:t>No modulation of pHe in C. gigas exposed to pH of 7.6; also metabolic differences in gill and mantle (not other) tissues (Lannig et al. 2010)</w:t>
      </w:r>
    </w:p>
    <w:p w14:paraId="397F5B28" w14:textId="43C33230" w:rsidR="009D7F25" w:rsidRDefault="009D7F25" w:rsidP="00EA3DBB">
      <w:pPr>
        <w:pStyle w:val="ListParagraph"/>
        <w:numPr>
          <w:ilvl w:val="3"/>
          <w:numId w:val="1"/>
        </w:numPr>
      </w:pPr>
      <w:r>
        <w:t>Intracellular pH is 0.5-0.8 units lower than extracellular; intracellular has the largest amount of non-bicarbonate buffers (Portner et al. 2004)</w:t>
      </w:r>
    </w:p>
    <w:p w14:paraId="49332758" w14:textId="4C148495" w:rsidR="00680AF3" w:rsidRDefault="00680AF3" w:rsidP="00EA3DBB">
      <w:pPr>
        <w:pStyle w:val="ListParagraph"/>
        <w:numPr>
          <w:ilvl w:val="3"/>
          <w:numId w:val="1"/>
        </w:numPr>
      </w:pPr>
      <w:r>
        <w:t>Frequently causes metabolic depression (Portner et al. 2004)</w:t>
      </w:r>
    </w:p>
    <w:p w14:paraId="2A6D0BD1" w14:textId="3189BA41" w:rsidR="002E0F2D" w:rsidRDefault="002E0F2D" w:rsidP="00EA3DBB">
      <w:pPr>
        <w:pStyle w:val="ListParagraph"/>
        <w:numPr>
          <w:ilvl w:val="3"/>
          <w:numId w:val="1"/>
        </w:numPr>
      </w:pPr>
      <w:r>
        <w:t xml:space="preserve">Some organisms remove fixed number of H+ from their calcifying fluid while others maintain a certain internal:external H+ balance; OA will be more negative </w:t>
      </w:r>
      <w:r>
        <w:lastRenderedPageBreak/>
        <w:t>for species that have weaker control over calcifying compartment pH (Ries 2011)</w:t>
      </w:r>
    </w:p>
    <w:p w14:paraId="284240D1" w14:textId="77777777" w:rsidR="00DE7915" w:rsidRDefault="00DE7915" w:rsidP="00DE7915">
      <w:pPr>
        <w:pStyle w:val="ListParagraph"/>
        <w:numPr>
          <w:ilvl w:val="2"/>
          <w:numId w:val="1"/>
        </w:numPr>
      </w:pPr>
      <w:r>
        <w:t>Acid-base balance</w:t>
      </w:r>
    </w:p>
    <w:p w14:paraId="1120AC67" w14:textId="77044C0B" w:rsidR="00CF0E4F" w:rsidRDefault="00CF0E4F" w:rsidP="00CF0E4F">
      <w:pPr>
        <w:pStyle w:val="ListParagraph"/>
        <w:numPr>
          <w:ilvl w:val="3"/>
          <w:numId w:val="1"/>
        </w:numPr>
      </w:pPr>
      <w:r>
        <w:t>Cuttlefish are able to regulate pHe and pHi to an extent by increasing [HCO3-] (Gutowska et al. 2010)</w:t>
      </w:r>
    </w:p>
    <w:p w14:paraId="137552E0" w14:textId="667C52C9" w:rsidR="005A2EB5" w:rsidRDefault="00E81ACD" w:rsidP="00CF0E4F">
      <w:pPr>
        <w:pStyle w:val="ListParagraph"/>
        <w:numPr>
          <w:ilvl w:val="3"/>
          <w:numId w:val="1"/>
        </w:numPr>
      </w:pPr>
      <w:r>
        <w:t>Limpets are able</w:t>
      </w:r>
      <w:r w:rsidR="005A2EB5">
        <w:t xml:space="preserve"> to compensate and maintain balance by increasing hemolymph concentrations of Ca and HCO3 (Marchant et al. 2010)</w:t>
      </w:r>
    </w:p>
    <w:p w14:paraId="44C4AF7E" w14:textId="4B408D1C" w:rsidR="00121874" w:rsidRDefault="00121874" w:rsidP="00CF0E4F">
      <w:pPr>
        <w:pStyle w:val="ListParagraph"/>
        <w:numPr>
          <w:ilvl w:val="3"/>
          <w:numId w:val="1"/>
        </w:numPr>
      </w:pPr>
      <w:r>
        <w:t>Adult sea urchins buffer by increasing HCO3 in coelomic fluid with evidence of test dissolution (Miles et al 2007)</w:t>
      </w:r>
    </w:p>
    <w:p w14:paraId="252ED543" w14:textId="4476087A" w:rsidR="00477C95" w:rsidRDefault="00477C95" w:rsidP="00CF0E4F">
      <w:pPr>
        <w:pStyle w:val="ListParagraph"/>
        <w:numPr>
          <w:ilvl w:val="3"/>
          <w:numId w:val="1"/>
        </w:numPr>
      </w:pPr>
      <w:r>
        <w:t>Velvet swimming crab compensates for low pH (efficiently) by shell dissolution, evidenced by increased [HCO3-] and [Mg2+] – increased hemolymph magnesium could have a narcotic effect (Spicer et al. 2007)</w:t>
      </w:r>
    </w:p>
    <w:p w14:paraId="3104E9A3" w14:textId="020E5832" w:rsidR="00343A56" w:rsidRDefault="00343A56" w:rsidP="00CF0E4F">
      <w:pPr>
        <w:pStyle w:val="ListParagraph"/>
        <w:numPr>
          <w:ilvl w:val="3"/>
          <w:numId w:val="1"/>
        </w:numPr>
      </w:pPr>
      <w:r>
        <w:t>Increased NH4+ excretion in blue mussels may indicate attempt at proton removal</w:t>
      </w:r>
      <w:r w:rsidR="00693572">
        <w:t xml:space="preserve"> and also increased energy loss through upregulated protein metabolism</w:t>
      </w:r>
      <w:r>
        <w:t xml:space="preserve"> (Thomsen and Melzner 2010)</w:t>
      </w:r>
    </w:p>
    <w:p w14:paraId="6EFF2F25" w14:textId="4E5BC2B1" w:rsidR="007F0B82" w:rsidRDefault="007F0B82" w:rsidP="00CF0E4F">
      <w:pPr>
        <w:pStyle w:val="ListParagraph"/>
        <w:numPr>
          <w:ilvl w:val="3"/>
          <w:numId w:val="1"/>
        </w:numPr>
      </w:pPr>
      <w:r>
        <w:t>Urchin larvae upregulate H+ transporters under high CO2; also down-regulation of Na+ transporters, which is tightly linked to acid-base regulation (Todgham &amp; Hofmann)</w:t>
      </w:r>
    </w:p>
    <w:p w14:paraId="5DA761DF" w14:textId="5591DD8B" w:rsidR="00473B38" w:rsidRDefault="00473B38" w:rsidP="00473B38">
      <w:pPr>
        <w:pStyle w:val="ListParagraph"/>
        <w:numPr>
          <w:ilvl w:val="2"/>
          <w:numId w:val="1"/>
        </w:numPr>
      </w:pPr>
      <w:r>
        <w:t>Immune</w:t>
      </w:r>
    </w:p>
    <w:p w14:paraId="79629242" w14:textId="0AE64B5C" w:rsidR="00473B38" w:rsidRDefault="00473B38" w:rsidP="00473B38">
      <w:pPr>
        <w:pStyle w:val="ListParagraph"/>
        <w:numPr>
          <w:ilvl w:val="3"/>
          <w:numId w:val="1"/>
        </w:numPr>
      </w:pPr>
      <w:r>
        <w:t>Sea star decreased activity of hsp70 and mapk-p38 as well as lowered phagocytic activity of coelomocytes and reduced number of coelomocytes after 1 week, maintained through 6 mos at low pH (Henroth et al. 2011)</w:t>
      </w:r>
    </w:p>
    <w:p w14:paraId="10BD5763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Range shifts</w:t>
      </w:r>
    </w:p>
    <w:p w14:paraId="4ACE330D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Fitness</w:t>
      </w:r>
    </w:p>
    <w:p w14:paraId="63895B81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Adaptive potential</w:t>
      </w:r>
    </w:p>
    <w:p w14:paraId="2E2CC5A0" w14:textId="6C225432" w:rsidR="00977751" w:rsidRPr="00240F95" w:rsidRDefault="00977751" w:rsidP="00977751">
      <w:pPr>
        <w:pStyle w:val="ListParagraph"/>
        <w:numPr>
          <w:ilvl w:val="2"/>
          <w:numId w:val="1"/>
        </w:numPr>
      </w:pPr>
      <w:r>
        <w:t>Controlled crosses of corals and raised at elevated T – found additive genetic effects</w:t>
      </w:r>
      <w:r w:rsidR="00A24534">
        <w:t xml:space="preserve"> and high heritability</w:t>
      </w:r>
      <w:r>
        <w:t xml:space="preserve"> for responsiveness to settlement and gene expression of </w:t>
      </w:r>
      <w:r w:rsidR="00A24534">
        <w:rPr>
          <w:rFonts w:ascii="Cambria" w:hAnsi="Cambria"/>
        </w:rPr>
        <w:t>βγ-crystallin = potential adaptive responses to selection (Meyer et al. 2009).</w:t>
      </w:r>
    </w:p>
    <w:p w14:paraId="31995B5B" w14:textId="4CE21400" w:rsidR="00240F95" w:rsidRDefault="00240F95" w:rsidP="00977751">
      <w:pPr>
        <w:pStyle w:val="ListParagraph"/>
        <w:numPr>
          <w:ilvl w:val="2"/>
          <w:numId w:val="1"/>
        </w:numPr>
      </w:pPr>
      <w:r>
        <w:rPr>
          <w:rFonts w:ascii="Cambria" w:hAnsi="Cambria"/>
        </w:rPr>
        <w:t>Qst (measure of quantitative trait) greater than Fst in sunflowers = adaptive differentiation in flowering time; due to paralogue-specific gene expression divergence (Blackman et al. 2011</w:t>
      </w:r>
      <w:r w:rsidR="00E81ACD">
        <w:rPr>
          <w:rFonts w:ascii="Cambria" w:hAnsi="Cambria"/>
        </w:rPr>
        <w:t>)</w:t>
      </w:r>
    </w:p>
    <w:p w14:paraId="748BC88A" w14:textId="77777777" w:rsidR="00240F95" w:rsidRDefault="00240F95" w:rsidP="00240F95">
      <w:pPr>
        <w:pStyle w:val="ListParagraph"/>
        <w:numPr>
          <w:ilvl w:val="1"/>
          <w:numId w:val="1"/>
        </w:numPr>
      </w:pPr>
    </w:p>
    <w:p w14:paraId="27883F47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Calcification/Shell Mineralization</w:t>
      </w:r>
    </w:p>
    <w:p w14:paraId="30F05159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Shell protein content</w:t>
      </w:r>
    </w:p>
    <w:p w14:paraId="0E6D92E9" w14:textId="77777777" w:rsidR="0072754B" w:rsidRDefault="0072754B" w:rsidP="00DE7915">
      <w:pPr>
        <w:pStyle w:val="ListParagraph"/>
        <w:numPr>
          <w:ilvl w:val="1"/>
          <w:numId w:val="1"/>
        </w:numPr>
      </w:pPr>
      <w:r>
        <w:t>Intracrystalline fraction = closed system (i.e. maintains integrity of amino acid content); taxon-specific differences in intracrystalline amino acid content.   Measured by reverse-phase HPCL with fluorescent detection (Penkman et al. 2008).</w:t>
      </w:r>
    </w:p>
    <w:p w14:paraId="7F5FD5DD" w14:textId="4FF18F50" w:rsidR="00404ED2" w:rsidRDefault="00404ED2" w:rsidP="00DE7915">
      <w:pPr>
        <w:pStyle w:val="ListParagraph"/>
        <w:numPr>
          <w:ilvl w:val="1"/>
          <w:numId w:val="1"/>
        </w:numPr>
      </w:pPr>
      <w:r>
        <w:rPr>
          <w:i/>
        </w:rPr>
        <w:t>L. elliptica</w:t>
      </w:r>
      <w:r>
        <w:t xml:space="preserve"> increased expression of calcifying gene CHS (chitin synthase) in response to decreased pH 7.78 (Cummings et al. 2011)</w:t>
      </w:r>
    </w:p>
    <w:p w14:paraId="176F8696" w14:textId="4D305805" w:rsidR="00C6521E" w:rsidRDefault="00C6521E" w:rsidP="00DE7915">
      <w:pPr>
        <w:pStyle w:val="ListParagraph"/>
        <w:numPr>
          <w:ilvl w:val="1"/>
          <w:numId w:val="1"/>
        </w:numPr>
      </w:pPr>
      <w:r>
        <w:t>no change in barnacle calcification after 104 days, but increased mortality so perhaps energy needed to maintain calcification = costly (Findlay et al. 2009)</w:t>
      </w:r>
    </w:p>
    <w:p w14:paraId="45BBDFB2" w14:textId="2C79408B" w:rsidR="00E42958" w:rsidRDefault="00E42958" w:rsidP="00DE7915">
      <w:pPr>
        <w:pStyle w:val="ListParagraph"/>
        <w:numPr>
          <w:ilvl w:val="1"/>
          <w:numId w:val="1"/>
        </w:numPr>
      </w:pPr>
      <w:r>
        <w:t>smaller C. gigas at higher pCO2 (kurihara et al. 2007)</w:t>
      </w:r>
    </w:p>
    <w:p w14:paraId="6481D052" w14:textId="796554F3" w:rsidR="0007631F" w:rsidRDefault="0007631F" w:rsidP="00DE7915">
      <w:pPr>
        <w:pStyle w:val="ListParagraph"/>
        <w:numPr>
          <w:ilvl w:val="1"/>
          <w:numId w:val="1"/>
        </w:numPr>
      </w:pPr>
      <w:r>
        <w:t>both temperature and pCO2 affected mortality in juvenile Arctic pteropods; however, pCO2 only had an effect on shell growth and integrity after 29 days (Lischka et al. 2011)</w:t>
      </w:r>
    </w:p>
    <w:p w14:paraId="4F8A8520" w14:textId="3B542F7F" w:rsidR="005C573F" w:rsidRDefault="005C573F" w:rsidP="00DE7915">
      <w:pPr>
        <w:pStyle w:val="ListParagraph"/>
        <w:numPr>
          <w:ilvl w:val="1"/>
          <w:numId w:val="1"/>
        </w:numPr>
      </w:pPr>
      <w:r>
        <w:t>early sea urchin larvae increase expression of biomineralization genes under low pH (</w:t>
      </w:r>
      <w:r w:rsidR="004C0F1D">
        <w:t>Martin</w:t>
      </w:r>
      <w:r>
        <w:t xml:space="preserve"> et al. 2011)</w:t>
      </w:r>
    </w:p>
    <w:p w14:paraId="503D62E6" w14:textId="5E07F4E8" w:rsidR="007F0B82" w:rsidRDefault="007F0B82" w:rsidP="00DE7915">
      <w:pPr>
        <w:pStyle w:val="ListParagraph"/>
        <w:numPr>
          <w:ilvl w:val="1"/>
          <w:numId w:val="1"/>
        </w:numPr>
      </w:pPr>
      <w:r>
        <w:t>downregulation of genes implicated in calcification in sea urchin larvae (Todgham &amp; Hofmann )</w:t>
      </w:r>
    </w:p>
    <w:p w14:paraId="1CA9A460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Maternal Effects</w:t>
      </w:r>
    </w:p>
    <w:p w14:paraId="02E76328" w14:textId="505DEE92" w:rsidR="00CD7B90" w:rsidRDefault="00CD7B90" w:rsidP="00CD7B90">
      <w:pPr>
        <w:pStyle w:val="ListParagraph"/>
        <w:numPr>
          <w:ilvl w:val="1"/>
          <w:numId w:val="1"/>
        </w:numPr>
      </w:pPr>
      <w:r>
        <w:t>Larvae from selectively bred oysters and from oysters acclimated to high pCO2 are more tolerant of high pCO2 (grow larger) (Parker et al. 2011)</w:t>
      </w:r>
    </w:p>
    <w:p w14:paraId="3313C567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Oxidative Stress</w:t>
      </w:r>
    </w:p>
    <w:p w14:paraId="452A7467" w14:textId="5ED873D9" w:rsidR="008736DC" w:rsidRDefault="008736DC" w:rsidP="008736DC">
      <w:pPr>
        <w:pStyle w:val="ListParagraph"/>
        <w:numPr>
          <w:ilvl w:val="1"/>
          <w:numId w:val="1"/>
        </w:numPr>
      </w:pPr>
      <w:r>
        <w:t>Glutathione-s-transferase in C. virginica changes expression in response to metals that produce ROS (Chapman et al. 2011)</w:t>
      </w:r>
    </w:p>
    <w:p w14:paraId="0B59348B" w14:textId="030B67C9" w:rsidR="006E18EF" w:rsidRDefault="006E18EF" w:rsidP="008736DC">
      <w:pPr>
        <w:pStyle w:val="ListParagraph"/>
        <w:numPr>
          <w:ilvl w:val="1"/>
          <w:numId w:val="1"/>
        </w:numPr>
      </w:pPr>
      <w:r>
        <w:t>3 hypotheses for how elevated pCO2 can cause oxidative stress (Tomanek et al. 20110</w:t>
      </w:r>
    </w:p>
    <w:p w14:paraId="78417AA8" w14:textId="63807317" w:rsidR="006E18EF" w:rsidRDefault="006E18EF" w:rsidP="006E18EF">
      <w:pPr>
        <w:pStyle w:val="ListParagraph"/>
        <w:numPr>
          <w:ilvl w:val="2"/>
          <w:numId w:val="1"/>
        </w:numPr>
      </w:pPr>
      <w:r>
        <w:t>CO2 reacts with peroxynitrite (a reactive N species), which would oxidize multiple cellular compounds and directly increases ROS production</w:t>
      </w:r>
    </w:p>
    <w:p w14:paraId="51CC18E3" w14:textId="596612D5" w:rsidR="006E18EF" w:rsidRDefault="006E18EF" w:rsidP="006E18EF">
      <w:pPr>
        <w:pStyle w:val="ListParagraph"/>
        <w:numPr>
          <w:ilvl w:val="2"/>
          <w:numId w:val="1"/>
        </w:numPr>
      </w:pPr>
      <w:r>
        <w:t>High CO2/low pH could impact mitochondrial function and/or non-enzymatic production of free radicals – oysters not able to regulate pH well so subject to acidosis, which could affect intracellular ETC or release of chelated transition metals from intracellular stores</w:t>
      </w:r>
    </w:p>
    <w:p w14:paraId="1888C1AF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Metabolic Rate</w:t>
      </w:r>
    </w:p>
    <w:p w14:paraId="2F7D09D0" w14:textId="3F7D2676" w:rsidR="00BE3F86" w:rsidRDefault="00BE3F86" w:rsidP="00BE3F86">
      <w:pPr>
        <w:pStyle w:val="ListParagraph"/>
        <w:numPr>
          <w:ilvl w:val="1"/>
          <w:numId w:val="1"/>
        </w:numPr>
      </w:pPr>
      <w:r>
        <w:t xml:space="preserve">Bivalve </w:t>
      </w:r>
      <w:r>
        <w:rPr>
          <w:i/>
        </w:rPr>
        <w:t>Laternula elliptica</w:t>
      </w:r>
      <w:r>
        <w:t xml:space="preserve"> had increased</w:t>
      </w:r>
      <w:r w:rsidR="00404ED2">
        <w:t xml:space="preserve"> (&gt; 2x)</w:t>
      </w:r>
      <w:r>
        <w:t xml:space="preserve"> basal metabolic rate at lower pH</w:t>
      </w:r>
      <w:r w:rsidR="00404ED2">
        <w:t xml:space="preserve"> (7.78) (cummings et al. 2011)</w:t>
      </w:r>
    </w:p>
    <w:p w14:paraId="181BB8BA" w14:textId="1CA5FF05" w:rsidR="009870E7" w:rsidRDefault="009870E7" w:rsidP="00BE3F86">
      <w:pPr>
        <w:pStyle w:val="ListParagraph"/>
        <w:numPr>
          <w:ilvl w:val="1"/>
          <w:numId w:val="1"/>
        </w:numPr>
      </w:pPr>
      <w:r>
        <w:t>OA causes developmental delay and decreased scope for growth in purple urchin larvae – indicative of impacted energy budget from abiotic stressor (Stumpp et al. 2011)</w:t>
      </w:r>
    </w:p>
    <w:p w14:paraId="478041B6" w14:textId="0A8B8099" w:rsidR="00343A56" w:rsidRDefault="00343A56" w:rsidP="00BE3F86">
      <w:pPr>
        <w:pStyle w:val="ListParagraph"/>
        <w:numPr>
          <w:ilvl w:val="1"/>
          <w:numId w:val="1"/>
        </w:numPr>
      </w:pPr>
      <w:r>
        <w:t>Blue mussels increased metabolic rate after 4 months at elevated pCO2</w:t>
      </w:r>
      <w:r w:rsidR="00827068">
        <w:t xml:space="preserve"> coupled with decreased growth</w:t>
      </w:r>
      <w:r>
        <w:t xml:space="preserve"> (Thomsen and Melzner 2010)</w:t>
      </w:r>
    </w:p>
    <w:p w14:paraId="517B1211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Immune Suppression</w:t>
      </w:r>
    </w:p>
    <w:p w14:paraId="7970F88E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Multiple Stressors</w:t>
      </w:r>
    </w:p>
    <w:p w14:paraId="05D3FE86" w14:textId="2C2C7380" w:rsidR="00CD7B90" w:rsidRDefault="00CD7B90" w:rsidP="00CD7B90">
      <w:pPr>
        <w:pStyle w:val="ListParagraph"/>
        <w:numPr>
          <w:ilvl w:val="1"/>
          <w:numId w:val="1"/>
        </w:numPr>
      </w:pPr>
      <w:r>
        <w:t>Abnormal larvae of S. glomerata and C. gigas at higher pCO2, but increased temperature caused more abnormal larvae for S. glom than gigas; interacting effects caused decreased size in both species (Parker et al. 2010)</w:t>
      </w:r>
    </w:p>
    <w:p w14:paraId="7DFC4C61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PCP</w:t>
      </w:r>
    </w:p>
    <w:p w14:paraId="322190B3" w14:textId="732D1BFC" w:rsidR="00B16833" w:rsidRDefault="00B16833" w:rsidP="00B16833">
      <w:pPr>
        <w:pStyle w:val="ListParagraph"/>
        <w:numPr>
          <w:ilvl w:val="1"/>
          <w:numId w:val="1"/>
        </w:numPr>
      </w:pPr>
      <w:r>
        <w:t>Increases incidence of intraepithelial oviduct cysts in ewes and also disrupts endocrine system (decreases thyroxine concentration and increases insulin) – disruptions to endocrine can inhibit ability to deal with environmental stress (Rawlings et al. 1998)</w:t>
      </w:r>
    </w:p>
    <w:p w14:paraId="4C8E0436" w14:textId="055190DB" w:rsidR="006C244F" w:rsidRDefault="006C244F" w:rsidP="00B16833">
      <w:pPr>
        <w:pStyle w:val="ListParagraph"/>
        <w:numPr>
          <w:ilvl w:val="1"/>
          <w:numId w:val="1"/>
        </w:numPr>
      </w:pPr>
      <w:r>
        <w:t xml:space="preserve">Pacific oysters have a limited ability to metabolize PCP (11%) and are able to get rid of it via depuration; most PCP is absorbed in the viscera (Shofer &amp; </w:t>
      </w:r>
      <w:r w:rsidR="00477C95">
        <w:t>Tjeerdema</w:t>
      </w:r>
      <w:r>
        <w:t xml:space="preserve"> 1993)</w:t>
      </w:r>
    </w:p>
    <w:p w14:paraId="50C96DE2" w14:textId="5AAAEF09" w:rsidR="00EC1D18" w:rsidRDefault="00EC1D18" w:rsidP="00B16833">
      <w:pPr>
        <w:pStyle w:val="ListParagraph"/>
        <w:numPr>
          <w:ilvl w:val="1"/>
          <w:numId w:val="1"/>
        </w:numPr>
      </w:pPr>
      <w:r>
        <w:t>Oxidative phosphorylation uncoupler (Winbech 1954)</w:t>
      </w:r>
    </w:p>
    <w:p w14:paraId="530B1B8D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Mitochondrial Phosphorylation</w:t>
      </w:r>
    </w:p>
    <w:p w14:paraId="302FF875" w14:textId="3B5B7CAB" w:rsidR="00310AD8" w:rsidRDefault="00310AD8" w:rsidP="00310AD8">
      <w:pPr>
        <w:pStyle w:val="ListParagraph"/>
        <w:numPr>
          <w:ilvl w:val="1"/>
          <w:numId w:val="1"/>
        </w:numPr>
      </w:pPr>
      <w:r>
        <w:t>From glycosylation and Kreb cycle, products are transported to ETC in mitochondria.  Via redox reactions, electrons are transferred down chain to efficiently produce energy.</w:t>
      </w:r>
    </w:p>
    <w:p w14:paraId="6C2CC2DE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Molecular Chaperones</w:t>
      </w:r>
    </w:p>
    <w:p w14:paraId="30E143F1" w14:textId="3FA02532" w:rsidR="008736DC" w:rsidRDefault="008736DC" w:rsidP="008736DC">
      <w:pPr>
        <w:pStyle w:val="ListParagraph"/>
        <w:numPr>
          <w:ilvl w:val="1"/>
          <w:numId w:val="1"/>
        </w:numPr>
      </w:pPr>
      <w:r>
        <w:t>Hsp70 in C. virginica responds to both temperature and pH, but response to pH is relatively weak (Chapman et al. 2011)</w:t>
      </w:r>
    </w:p>
    <w:p w14:paraId="724B62F0" w14:textId="1E8450CC" w:rsidR="007F0B82" w:rsidRDefault="007F0B82" w:rsidP="008736DC">
      <w:pPr>
        <w:pStyle w:val="ListParagraph"/>
        <w:numPr>
          <w:ilvl w:val="1"/>
          <w:numId w:val="1"/>
        </w:numPr>
      </w:pPr>
      <w:r>
        <w:t>Downregulation of multiple molecular chaperones at high pCO2 for urchin larvae (Todgham &amp; Hofmann)</w:t>
      </w:r>
    </w:p>
    <w:p w14:paraId="0C3CA5E7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Statistics</w:t>
      </w:r>
    </w:p>
    <w:p w14:paraId="0DB54E16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ANOVA</w:t>
      </w:r>
    </w:p>
    <w:p w14:paraId="48DB749A" w14:textId="31379384" w:rsidR="004418FF" w:rsidRDefault="004418FF" w:rsidP="004418FF">
      <w:pPr>
        <w:pStyle w:val="ListParagraph"/>
        <w:numPr>
          <w:ilvl w:val="2"/>
          <w:numId w:val="1"/>
        </w:numPr>
      </w:pPr>
      <w:r>
        <w:t>Multiple t-tests increase risk of type I error (detecting a difference when there isn’t one).</w:t>
      </w:r>
      <w:r w:rsidR="00A1078E">
        <w:t xml:space="preserve">   Compares variability within and between groups.  When levels of a factor are specifically chosen (not at random), these effects are </w:t>
      </w:r>
      <w:r w:rsidR="00A1078E">
        <w:rPr>
          <w:i/>
        </w:rPr>
        <w:t>fixed</w:t>
      </w:r>
      <w:r w:rsidR="00A1078E">
        <w:t>; if effects are chosen at random then null hypothesis needs to be stated more generally.  Assumes that population variances are equal and have that samples have been chosen randomly – in general, ANOVA is robust to deviations from these.</w:t>
      </w:r>
    </w:p>
    <w:p w14:paraId="7F815A2F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Tukey’s HSD</w:t>
      </w:r>
    </w:p>
    <w:p w14:paraId="73ACABC0" w14:textId="3FCA6FA2" w:rsidR="00222490" w:rsidRDefault="00222490" w:rsidP="00222490">
      <w:pPr>
        <w:pStyle w:val="ListParagraph"/>
        <w:numPr>
          <w:ilvl w:val="2"/>
          <w:numId w:val="1"/>
        </w:numPr>
      </w:pPr>
      <w:r>
        <w:t>Used in replace</w:t>
      </w:r>
      <w:r w:rsidR="00310AD8">
        <w:t>ment</w:t>
      </w:r>
      <w:bookmarkStart w:id="0" w:name="_GoBack"/>
      <w:bookmarkEnd w:id="0"/>
      <w:r>
        <w:t xml:space="preserve"> of doing multiple t-tests.  Calculates a </w:t>
      </w:r>
      <w:r>
        <w:rPr>
          <w:i/>
        </w:rPr>
        <w:t>q</w:t>
      </w:r>
      <w:r>
        <w:t xml:space="preserve"> statistic by dividing the difference between 2 sample means by the SE.  If sample sizes are unequal then use Tukey-Kramer procedure (different SE).</w:t>
      </w:r>
      <w:r w:rsidR="005E5440">
        <w:t xml:space="preserve">  Not robust to differences in variances, so use the Welch approximation of SE, but each sample size should be at least 6 (this moderates Type I error rate).</w:t>
      </w:r>
    </w:p>
    <w:p w14:paraId="206DC61F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GLM</w:t>
      </w:r>
    </w:p>
    <w:p w14:paraId="1A992E5C" w14:textId="7EACE528" w:rsidR="000D4505" w:rsidRDefault="000D4505" w:rsidP="000D4505">
      <w:pPr>
        <w:pStyle w:val="ListParagraph"/>
        <w:numPr>
          <w:ilvl w:val="2"/>
          <w:numId w:val="1"/>
        </w:numPr>
      </w:pPr>
      <w:r>
        <w:t>Variance is not always constant and errors are not normally distributed</w:t>
      </w:r>
    </w:p>
    <w:p w14:paraId="645DD478" w14:textId="2FFAFC77" w:rsidR="000D4505" w:rsidRDefault="000D4505" w:rsidP="000D4505">
      <w:pPr>
        <w:pStyle w:val="ListParagraph"/>
        <w:numPr>
          <w:ilvl w:val="2"/>
          <w:numId w:val="1"/>
        </w:numPr>
      </w:pPr>
      <w:r>
        <w:t>Linear model: equation that contains mathematical variables, parameters and random variables and is linear in parameters and random variables</w:t>
      </w:r>
    </w:p>
    <w:p w14:paraId="4AB43FF1" w14:textId="79421AE6" w:rsidR="000D4505" w:rsidRDefault="000D4505" w:rsidP="000D4505">
      <w:pPr>
        <w:pStyle w:val="ListParagraph"/>
        <w:numPr>
          <w:ilvl w:val="2"/>
          <w:numId w:val="1"/>
        </w:numPr>
      </w:pPr>
      <w:r>
        <w:t>3 properties: error structure, linear predictor, link function</w:t>
      </w:r>
    </w:p>
    <w:p w14:paraId="0005CACF" w14:textId="60EF9CC2" w:rsidR="000D4505" w:rsidRDefault="000D4505" w:rsidP="000D4505">
      <w:pPr>
        <w:pStyle w:val="ListParagraph"/>
        <w:numPr>
          <w:ilvl w:val="3"/>
          <w:numId w:val="1"/>
        </w:numPr>
      </w:pPr>
      <w:r>
        <w:t>error structure: poisson for count data; binomial for data on proportions; gamma for constant coefficient of variation; exponential for time to death/survival analysis</w:t>
      </w:r>
    </w:p>
    <w:p w14:paraId="7DDEA1BC" w14:textId="1DE4B0D6" w:rsidR="000D4505" w:rsidRDefault="000D4505" w:rsidP="000D4505">
      <w:pPr>
        <w:pStyle w:val="ListParagraph"/>
        <w:numPr>
          <w:ilvl w:val="3"/>
          <w:numId w:val="1"/>
        </w:numPr>
      </w:pPr>
      <w:r>
        <w:t>linear predictor: has one term for each parameter</w:t>
      </w:r>
    </w:p>
    <w:p w14:paraId="780ED021" w14:textId="7C8ED3F0" w:rsidR="000D4505" w:rsidRDefault="000D4505" w:rsidP="000D4505">
      <w:pPr>
        <w:pStyle w:val="ListParagraph"/>
        <w:numPr>
          <w:ilvl w:val="3"/>
          <w:numId w:val="1"/>
        </w:numPr>
      </w:pPr>
      <w:r>
        <w:t>link function – want one that produces minimal residual deviance: log link for count data, explanatory variables with multiplicative effects; logit link for proportion data; probit for bioassay; complementary log-log for dilution analysis, binary, proportional response</w:t>
      </w:r>
    </w:p>
    <w:p w14:paraId="2E564F48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T-test</w:t>
      </w:r>
    </w:p>
    <w:p w14:paraId="7665FDB7" w14:textId="55B51182" w:rsidR="006E4E34" w:rsidRDefault="006E4E34" w:rsidP="006E4E34">
      <w:pPr>
        <w:pStyle w:val="ListParagraph"/>
        <w:numPr>
          <w:ilvl w:val="2"/>
          <w:numId w:val="1"/>
        </w:numPr>
      </w:pPr>
      <w:r>
        <w:t>Testing the difference between the means of 2 groups: the difference between the means divided by the standard error of the difference between the sample means (transformed to the square root of 2 times the pooled sample variance divided by the sample size).</w:t>
      </w:r>
      <w:r w:rsidR="007E2210">
        <w:t xml:space="preserve">  Assumes that variances are equal.   When variances (and/or sample sizes) are not equal, simply replace the pooled variance with the SE of the difference between the means.</w:t>
      </w:r>
    </w:p>
    <w:p w14:paraId="402C4397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Chi square</w:t>
      </w:r>
    </w:p>
    <w:p w14:paraId="1E6D7FD2" w14:textId="64404E73" w:rsidR="007E2210" w:rsidRDefault="007E2210" w:rsidP="007E2210">
      <w:pPr>
        <w:pStyle w:val="ListParagraph"/>
        <w:numPr>
          <w:ilvl w:val="2"/>
          <w:numId w:val="1"/>
        </w:numPr>
      </w:pPr>
      <w:r>
        <w:t>Used for testing differences in sample variance.</w:t>
      </w:r>
      <w:r w:rsidR="004418FF">
        <w:t xml:space="preserve">  Assumes that sample observations are normally distributed.  Can be used to construct CIs and test hypotheses about the population variance.</w:t>
      </w:r>
      <w:r w:rsidR="00730593">
        <w:t xml:space="preserve">  </w:t>
      </w:r>
    </w:p>
    <w:p w14:paraId="7D29C7CD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PCA</w:t>
      </w:r>
    </w:p>
    <w:p w14:paraId="46E2FC68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Housekeeping gene</w:t>
      </w:r>
    </w:p>
    <w:p w14:paraId="0CFA0238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Histology</w:t>
      </w:r>
    </w:p>
    <w:p w14:paraId="6E33C90D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Invert Davidson’s (Shaw &amp; Battle 1957)</w:t>
      </w:r>
    </w:p>
    <w:p w14:paraId="53B4E617" w14:textId="3ACA7761" w:rsidR="00DE7915" w:rsidRDefault="00DE7915" w:rsidP="00DE7915">
      <w:pPr>
        <w:pStyle w:val="ListParagraph"/>
        <w:numPr>
          <w:ilvl w:val="1"/>
          <w:numId w:val="1"/>
        </w:numPr>
      </w:pPr>
      <w:r>
        <w:t>Ehrlich’s haematoxyli</w:t>
      </w:r>
      <w:r w:rsidR="00B0395F">
        <w:t>n</w:t>
      </w:r>
      <w:r>
        <w:t xml:space="preserve"> and eosin</w:t>
      </w:r>
    </w:p>
    <w:p w14:paraId="5DEBEF9F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 xml:space="preserve">Metaplasia </w:t>
      </w:r>
    </w:p>
    <w:p w14:paraId="3F549CD9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Hemocyte influx</w:t>
      </w:r>
    </w:p>
    <w:p w14:paraId="2C1214DD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Next-generation sequencing</w:t>
      </w:r>
    </w:p>
    <w:p w14:paraId="4CB72891" w14:textId="7F6962CA" w:rsidR="00DE7915" w:rsidRDefault="00DE7915" w:rsidP="00DE7915">
      <w:pPr>
        <w:pStyle w:val="ListParagraph"/>
        <w:numPr>
          <w:ilvl w:val="1"/>
          <w:numId w:val="1"/>
        </w:numPr>
      </w:pPr>
      <w:r>
        <w:t>SOLiD</w:t>
      </w:r>
      <w:r w:rsidR="00F31224">
        <w:t>: Sequencing by Oligonucleotide Ligation and Detection</w:t>
      </w:r>
    </w:p>
    <w:p w14:paraId="29C82CBF" w14:textId="5BC9A84F" w:rsidR="00F31224" w:rsidRDefault="00F31224" w:rsidP="00F31224">
      <w:pPr>
        <w:pStyle w:val="ListParagraph"/>
        <w:numPr>
          <w:ilvl w:val="2"/>
          <w:numId w:val="1"/>
        </w:numPr>
      </w:pPr>
      <w:r>
        <w:t>Individual fragments from the library attach to beads</w:t>
      </w:r>
    </w:p>
    <w:p w14:paraId="08FFE38F" w14:textId="69486446" w:rsidR="00F31224" w:rsidRDefault="00F31224" w:rsidP="00F31224">
      <w:pPr>
        <w:pStyle w:val="ListParagraph"/>
        <w:numPr>
          <w:ilvl w:val="2"/>
          <w:numId w:val="1"/>
        </w:numPr>
      </w:pPr>
      <w:r>
        <w:t>Beads have universal adapter sequence attached</w:t>
      </w:r>
    </w:p>
    <w:p w14:paraId="624AC3DA" w14:textId="258FF4EA" w:rsidR="00F31224" w:rsidRDefault="00F31224" w:rsidP="00F31224">
      <w:pPr>
        <w:pStyle w:val="ListParagraph"/>
        <w:numPr>
          <w:ilvl w:val="2"/>
          <w:numId w:val="1"/>
        </w:numPr>
      </w:pPr>
      <w:r>
        <w:t xml:space="preserve">Emulsion PCR is performed on individual beads </w:t>
      </w:r>
    </w:p>
    <w:p w14:paraId="1EB38615" w14:textId="4042DBB7" w:rsidR="00F31224" w:rsidRDefault="00F31224" w:rsidP="00F31224">
      <w:pPr>
        <w:pStyle w:val="ListParagraph"/>
        <w:numPr>
          <w:ilvl w:val="2"/>
          <w:numId w:val="1"/>
        </w:numPr>
      </w:pPr>
      <w:r>
        <w:t>PCR’d beads are covalently bound to a glass slide</w:t>
      </w:r>
    </w:p>
    <w:p w14:paraId="0782CEC4" w14:textId="6555EF46" w:rsidR="00F31224" w:rsidRDefault="00F31224" w:rsidP="00F31224">
      <w:pPr>
        <w:pStyle w:val="ListParagraph"/>
        <w:numPr>
          <w:ilvl w:val="2"/>
          <w:numId w:val="1"/>
        </w:numPr>
      </w:pPr>
      <w:r>
        <w:t>Primers attach to universal adapter</w:t>
      </w:r>
    </w:p>
    <w:p w14:paraId="44A0BBEB" w14:textId="4D621364" w:rsidR="00F31224" w:rsidRDefault="00F31224" w:rsidP="00F31224">
      <w:pPr>
        <w:pStyle w:val="ListParagraph"/>
        <w:numPr>
          <w:ilvl w:val="2"/>
          <w:numId w:val="1"/>
        </w:numPr>
      </w:pPr>
      <w:r>
        <w:t>Fluorescently labeled probes ligate to sequencing primers; the colors of the probes are specific to dinucleotide sequences</w:t>
      </w:r>
    </w:p>
    <w:p w14:paraId="299C2B0D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Assembly to a backbone</w:t>
      </w:r>
    </w:p>
    <w:p w14:paraId="672C6C89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RPKM</w:t>
      </w:r>
    </w:p>
    <w:p w14:paraId="22681E93" w14:textId="0F69AE5E" w:rsidR="00066D37" w:rsidRDefault="00066D37" w:rsidP="00066D37">
      <w:pPr>
        <w:pStyle w:val="ListParagraph"/>
        <w:numPr>
          <w:ilvl w:val="2"/>
          <w:numId w:val="1"/>
        </w:numPr>
      </w:pPr>
      <w:r>
        <w:t>(number of reads per contig)x(1000/length of contig)x(1x10</w:t>
      </w:r>
      <w:r w:rsidRPr="00066D37">
        <w:rPr>
          <w:vertAlign w:val="superscript"/>
        </w:rPr>
        <w:t>6</w:t>
      </w:r>
      <w:r>
        <w:t>/total number of mapped reads in the assembly)</w:t>
      </w:r>
    </w:p>
    <w:p w14:paraId="2E4CA34E" w14:textId="13D9E578" w:rsidR="00DE7915" w:rsidRDefault="00DE7915" w:rsidP="00DE7915">
      <w:pPr>
        <w:pStyle w:val="ListParagraph"/>
        <w:numPr>
          <w:ilvl w:val="1"/>
          <w:numId w:val="1"/>
        </w:numPr>
      </w:pPr>
      <w:r>
        <w:t>Qvalue</w:t>
      </w:r>
      <w:r w:rsidR="002502CE">
        <w:t xml:space="preserve"> (Storey 2002)</w:t>
      </w:r>
    </w:p>
    <w:p w14:paraId="1558FC22" w14:textId="0394F9E7" w:rsidR="002502CE" w:rsidRDefault="002502CE" w:rsidP="002502CE">
      <w:pPr>
        <w:pStyle w:val="ListParagraph"/>
        <w:numPr>
          <w:ilvl w:val="2"/>
          <w:numId w:val="1"/>
        </w:numPr>
      </w:pPr>
      <w:r>
        <w:t>Positive false discovery rate (pFDR): fixes rejection region then estimates alpha (probability of type I error); has greater power because rejects a greater number of hypotheses while controlling the same error rate; tests multiple hypotheses at once</w:t>
      </w:r>
    </w:p>
    <w:p w14:paraId="5AF440F4" w14:textId="0543C499" w:rsidR="002502CE" w:rsidRDefault="002502CE" w:rsidP="002502CE">
      <w:pPr>
        <w:pStyle w:val="ListParagraph"/>
        <w:numPr>
          <w:ilvl w:val="2"/>
          <w:numId w:val="1"/>
        </w:numPr>
      </w:pPr>
      <w:r>
        <w:t>Q-value is a p-value for pFDR; gives hypothesis testing error measure for each observed statistic with respect to pFDR; minimum pFDR that can occur when rejecting a statistic with a certain value for the set of nested rejection regions</w:t>
      </w:r>
    </w:p>
    <w:p w14:paraId="4D21B184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Proteins</w:t>
      </w:r>
    </w:p>
    <w:p w14:paraId="20A3E80D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SDS-PAGE</w:t>
      </w:r>
    </w:p>
    <w:p w14:paraId="4B09FF0F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Western blots</w:t>
      </w:r>
    </w:p>
    <w:p w14:paraId="598AAF1A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Heat shock</w:t>
      </w:r>
    </w:p>
    <w:p w14:paraId="558EFB19" w14:textId="6943BEED" w:rsidR="00EA3DBB" w:rsidRDefault="00EA3DBB" w:rsidP="00EA3DBB">
      <w:pPr>
        <w:pStyle w:val="ListParagraph"/>
        <w:numPr>
          <w:ilvl w:val="1"/>
          <w:numId w:val="1"/>
        </w:numPr>
      </w:pPr>
      <w:r>
        <w:t>After OA exposure, C. gigas from higher pCO2 elevated SMR more at 20 and 25°C (acclimation T = 15) than controls (Lannig et al. 2010)</w:t>
      </w:r>
    </w:p>
    <w:p w14:paraId="312DE0B5" w14:textId="1C5BA576" w:rsidR="00CD7B90" w:rsidRDefault="00DE7915" w:rsidP="00CD7B90">
      <w:pPr>
        <w:pStyle w:val="ListParagraph"/>
        <w:numPr>
          <w:ilvl w:val="0"/>
          <w:numId w:val="1"/>
        </w:numPr>
      </w:pPr>
      <w:r>
        <w:t>Selective Breeding</w:t>
      </w:r>
    </w:p>
    <w:p w14:paraId="2D923838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Reproduction</w:t>
      </w:r>
    </w:p>
    <w:p w14:paraId="5D83955B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 xml:space="preserve">Gametogenesis </w:t>
      </w:r>
    </w:p>
    <w:p w14:paraId="1C05BC2C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Gonad-somatic index</w:t>
      </w:r>
    </w:p>
    <w:p w14:paraId="23109DFB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Glycogen</w:t>
      </w:r>
    </w:p>
    <w:p w14:paraId="4F897049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Protein</w:t>
      </w:r>
    </w:p>
    <w:p w14:paraId="66A59302" w14:textId="77777777" w:rsidR="00DE7915" w:rsidRDefault="00DE7915" w:rsidP="00DE7915">
      <w:pPr>
        <w:pStyle w:val="ListParagraph"/>
        <w:numPr>
          <w:ilvl w:val="1"/>
          <w:numId w:val="1"/>
        </w:numPr>
      </w:pPr>
      <w:r>
        <w:t>lipids</w:t>
      </w:r>
    </w:p>
    <w:p w14:paraId="7905A28B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HRM</w:t>
      </w:r>
    </w:p>
    <w:p w14:paraId="0075DA7F" w14:textId="444BE213" w:rsidR="00977751" w:rsidRDefault="00977751" w:rsidP="00977751">
      <w:pPr>
        <w:pStyle w:val="ListParagraph"/>
        <w:numPr>
          <w:ilvl w:val="1"/>
          <w:numId w:val="1"/>
        </w:numPr>
      </w:pPr>
      <w:r>
        <w:t>454 sequence discovered &gt;33,000 SNPs; 65-75% of 48 tested were polymorphic in wild populations.  Using cDNA to find SNPs in non-models means that can find causal genes underlying complex traits (Wang et al. 2009)</w:t>
      </w:r>
    </w:p>
    <w:p w14:paraId="29A7FC5D" w14:textId="217EB5D8" w:rsidR="007F5B60" w:rsidRDefault="007F5B60" w:rsidP="00977751">
      <w:pPr>
        <w:pStyle w:val="ListParagraph"/>
        <w:numPr>
          <w:ilvl w:val="1"/>
          <w:numId w:val="1"/>
        </w:numPr>
      </w:pPr>
      <w:r>
        <w:t>Distinguishes genotypes with high accuracy.  Using dye LCGreen is low cost and time saving.  (Lieuw et al. 2004)</w:t>
      </w:r>
    </w:p>
    <w:p w14:paraId="4123BBE4" w14:textId="1C7F3637" w:rsidR="007F5B60" w:rsidRDefault="007F5B60" w:rsidP="007F5B60">
      <w:pPr>
        <w:pStyle w:val="ListParagraph"/>
        <w:numPr>
          <w:ilvl w:val="2"/>
          <w:numId w:val="1"/>
        </w:numPr>
      </w:pPr>
      <w:r>
        <w:t>Benefits of small amplicons: simple assay design; Tm differences among genotypes increases; shorter cycling times because of low denaturation T and increased specificity; no T holds for polymerase extension</w:t>
      </w:r>
    </w:p>
    <w:p w14:paraId="5D90F120" w14:textId="574F8A6F" w:rsidR="007F5B60" w:rsidRDefault="007F5B60" w:rsidP="007F5B60">
      <w:pPr>
        <w:pStyle w:val="ListParagraph"/>
        <w:numPr>
          <w:ilvl w:val="2"/>
          <w:numId w:val="1"/>
        </w:numPr>
      </w:pPr>
      <w:r>
        <w:t>Disadvantaes: narrows choice of primers; less amplicon carry-over contamination control; primer dimer confusion</w:t>
      </w:r>
    </w:p>
    <w:p w14:paraId="6839A122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Cervus</w:t>
      </w:r>
    </w:p>
    <w:p w14:paraId="338984EF" w14:textId="2E55E95F" w:rsidR="00F5030A" w:rsidRDefault="00F5030A" w:rsidP="00F5030A">
      <w:pPr>
        <w:pStyle w:val="ListParagraph"/>
        <w:numPr>
          <w:ilvl w:val="1"/>
          <w:numId w:val="1"/>
        </w:numPr>
      </w:pPr>
      <w:r>
        <w:t>Uses likelihood to assign offspring to parents</w:t>
      </w:r>
    </w:p>
    <w:p w14:paraId="130E801F" w14:textId="647E64FD" w:rsidR="00F5030A" w:rsidRDefault="00F5030A" w:rsidP="00F5030A">
      <w:pPr>
        <w:pStyle w:val="ListParagraph"/>
        <w:numPr>
          <w:ilvl w:val="1"/>
          <w:numId w:val="1"/>
        </w:numPr>
      </w:pPr>
      <w:r>
        <w:t>Uses simulations to assess confidence of assignments</w:t>
      </w:r>
    </w:p>
    <w:p w14:paraId="5FF53CD6" w14:textId="12EF5072" w:rsidR="00F5030A" w:rsidRDefault="00F5030A" w:rsidP="00F5030A">
      <w:pPr>
        <w:pStyle w:val="ListParagraph"/>
        <w:numPr>
          <w:ilvl w:val="2"/>
          <w:numId w:val="1"/>
        </w:numPr>
      </w:pPr>
      <w:r>
        <w:t>Are loci suitable for parentage analysis?</w:t>
      </w:r>
    </w:p>
    <w:p w14:paraId="01EDE675" w14:textId="0770DAED" w:rsidR="00F5030A" w:rsidRDefault="00F5030A" w:rsidP="00F5030A">
      <w:pPr>
        <w:pStyle w:val="ListParagraph"/>
        <w:numPr>
          <w:ilvl w:val="2"/>
          <w:numId w:val="1"/>
        </w:numPr>
      </w:pPr>
      <w:r>
        <w:t>Find critical values of likelihood ratios so that confidence can be determined with real data</w:t>
      </w:r>
    </w:p>
    <w:p w14:paraId="3CFB621A" w14:textId="77777777" w:rsidR="00F5030A" w:rsidRDefault="00F5030A" w:rsidP="00F5030A">
      <w:pPr>
        <w:pStyle w:val="ListParagraph"/>
        <w:numPr>
          <w:ilvl w:val="1"/>
          <w:numId w:val="1"/>
        </w:numPr>
      </w:pPr>
    </w:p>
    <w:p w14:paraId="05E79243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Apparent Positive Effects of OA</w:t>
      </w:r>
    </w:p>
    <w:p w14:paraId="1FE2BFF3" w14:textId="77777777" w:rsidR="00DE7915" w:rsidRDefault="00DE7915" w:rsidP="00DE7915">
      <w:pPr>
        <w:pStyle w:val="ListParagraph"/>
        <w:numPr>
          <w:ilvl w:val="0"/>
          <w:numId w:val="1"/>
        </w:numPr>
      </w:pPr>
      <w:r>
        <w:t>Sweepstakes Selection</w:t>
      </w:r>
    </w:p>
    <w:p w14:paraId="409D5378" w14:textId="564EF06B" w:rsidR="001561AC" w:rsidRDefault="001561AC" w:rsidP="00DE7915">
      <w:pPr>
        <w:pStyle w:val="ListParagraph"/>
        <w:numPr>
          <w:ilvl w:val="0"/>
          <w:numId w:val="1"/>
        </w:numPr>
      </w:pPr>
      <w:r>
        <w:t>Immunofluorescence</w:t>
      </w:r>
    </w:p>
    <w:p w14:paraId="6E97F2EA" w14:textId="7FF45F79" w:rsidR="001561AC" w:rsidRDefault="001561AC" w:rsidP="001561AC">
      <w:pPr>
        <w:pStyle w:val="ListParagraph"/>
        <w:numPr>
          <w:ilvl w:val="1"/>
          <w:numId w:val="1"/>
        </w:numPr>
      </w:pPr>
      <w:r>
        <w:t>Vibrio-specific antiserum attached to fluorescing molecule – apply to sections and visualize (Elston &amp; Liebovitz 1980)</w:t>
      </w:r>
    </w:p>
    <w:p w14:paraId="340208E3" w14:textId="6E3D424C" w:rsidR="00BD0D84" w:rsidRDefault="00BD0D84" w:rsidP="001561AC">
      <w:pPr>
        <w:pStyle w:val="ListParagraph"/>
        <w:numPr>
          <w:ilvl w:val="1"/>
          <w:numId w:val="1"/>
        </w:numPr>
      </w:pPr>
      <w:r>
        <w:t>Deparaffinize sections and rehydrate through graded ethanol series.  Equilibrate in PBS, block for 30 minutes.  Incubate for 30-60 min in rabbit or mouse antiserum diluted to either 10</w:t>
      </w:r>
      <w:r w:rsidRPr="00BD0D84">
        <w:rPr>
          <w:vertAlign w:val="superscript"/>
        </w:rPr>
        <w:t>-2</w:t>
      </w:r>
      <w:r>
        <w:t xml:space="preserve"> or 10</w:t>
      </w:r>
      <w:r w:rsidRPr="00BD0D84">
        <w:rPr>
          <w:vertAlign w:val="superscript"/>
        </w:rPr>
        <w:t>-3</w:t>
      </w:r>
      <w:r>
        <w:t xml:space="preserve"> in PBST/BSA or in undiluted hybridoma culture medium (RPMI-20).  Wash sections with PBST and incubate with conjugated, species immunoglobulin-specific secondary antibodies for 30 minutes.    FITC-conjugated secondary antibodies diluted to 10 µg Ig mL</w:t>
      </w:r>
      <w:r w:rsidRPr="00BD0D84">
        <w:rPr>
          <w:vertAlign w:val="superscript"/>
        </w:rPr>
        <w:t>-1</w:t>
      </w:r>
      <w:r>
        <w:t xml:space="preserve"> with PSBST/BSA.  FITC-stained slides washed with PBST, counterstained 30s with 0.01% (w/v) Evan’s blue, mounted in buffered glycerol, and observed with an epifluorescence microscope. (Dungan &amp; Roberson 1993)</w:t>
      </w:r>
    </w:p>
    <w:p w14:paraId="6A6A3CDB" w14:textId="1D5C864F" w:rsidR="00BD0D84" w:rsidRDefault="00BD0D84" w:rsidP="00BD0D84">
      <w:pPr>
        <w:pStyle w:val="ListParagraph"/>
        <w:numPr>
          <w:ilvl w:val="2"/>
          <w:numId w:val="1"/>
        </w:numPr>
      </w:pPr>
      <w:r>
        <w:t>Changes from clegg 1998: primary hsp-70 antibody diluted 1:50 and secondary fluorescent isothiocyanate-labeled rabbit antirat serum (Sigma) was diluted 1:250.  Stained tissues viewed with both interference contrast and epifluroescence optics using an Olympus BH-2 microscope.</w:t>
      </w:r>
    </w:p>
    <w:p w14:paraId="14865194" w14:textId="38612F22" w:rsidR="001561AC" w:rsidRDefault="00241517" w:rsidP="00DE7915">
      <w:pPr>
        <w:pStyle w:val="ListParagraph"/>
        <w:numPr>
          <w:ilvl w:val="0"/>
          <w:numId w:val="1"/>
        </w:numPr>
      </w:pPr>
      <w:r>
        <w:t>Measuring Ne</w:t>
      </w:r>
    </w:p>
    <w:p w14:paraId="20088C7F" w14:textId="16202C78" w:rsidR="005261EA" w:rsidRDefault="005261EA" w:rsidP="00DE7915">
      <w:pPr>
        <w:pStyle w:val="ListParagraph"/>
        <w:numPr>
          <w:ilvl w:val="0"/>
          <w:numId w:val="1"/>
        </w:numPr>
      </w:pPr>
      <w:r>
        <w:t>Miscellaneous</w:t>
      </w:r>
    </w:p>
    <w:p w14:paraId="03029BD0" w14:textId="2952E45B" w:rsidR="005261EA" w:rsidRDefault="005261EA" w:rsidP="00DE7915">
      <w:pPr>
        <w:pStyle w:val="ListParagraph"/>
        <w:numPr>
          <w:ilvl w:val="0"/>
          <w:numId w:val="1"/>
        </w:numPr>
      </w:pPr>
      <w:r>
        <w:t>Homologous: trait is shared and used for similar purpose because it evolved from a common ancestor.  Paralogs arise from a gene duplication event that can be after speciation (salmonids) or pre-speciation (chimps and humans).</w:t>
      </w:r>
    </w:p>
    <w:sectPr w:rsidR="005261EA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7CC5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7B095D"/>
    <w:multiLevelType w:val="hybridMultilevel"/>
    <w:tmpl w:val="FE06EAB6"/>
    <w:lvl w:ilvl="0" w:tplc="29284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15"/>
    <w:rsid w:val="00066D37"/>
    <w:rsid w:val="0007631F"/>
    <w:rsid w:val="000D4505"/>
    <w:rsid w:val="00121874"/>
    <w:rsid w:val="001342D3"/>
    <w:rsid w:val="001561AC"/>
    <w:rsid w:val="00222490"/>
    <w:rsid w:val="00240F95"/>
    <w:rsid w:val="00241517"/>
    <w:rsid w:val="002502CE"/>
    <w:rsid w:val="002E0F2D"/>
    <w:rsid w:val="00310AD8"/>
    <w:rsid w:val="00343A56"/>
    <w:rsid w:val="00381516"/>
    <w:rsid w:val="00404ED2"/>
    <w:rsid w:val="004418FF"/>
    <w:rsid w:val="00473B38"/>
    <w:rsid w:val="00477C95"/>
    <w:rsid w:val="004C0F1D"/>
    <w:rsid w:val="005261EA"/>
    <w:rsid w:val="005A2EB5"/>
    <w:rsid w:val="005C573F"/>
    <w:rsid w:val="005E5440"/>
    <w:rsid w:val="00680AF3"/>
    <w:rsid w:val="00693572"/>
    <w:rsid w:val="006C244F"/>
    <w:rsid w:val="006E18EF"/>
    <w:rsid w:val="006E4E34"/>
    <w:rsid w:val="006F0DE5"/>
    <w:rsid w:val="0072754B"/>
    <w:rsid w:val="00730593"/>
    <w:rsid w:val="007570D3"/>
    <w:rsid w:val="007E2210"/>
    <w:rsid w:val="007F0B82"/>
    <w:rsid w:val="007F5B60"/>
    <w:rsid w:val="00827068"/>
    <w:rsid w:val="00855D11"/>
    <w:rsid w:val="008677CA"/>
    <w:rsid w:val="008736DC"/>
    <w:rsid w:val="008B06D8"/>
    <w:rsid w:val="00952567"/>
    <w:rsid w:val="00977751"/>
    <w:rsid w:val="009870E7"/>
    <w:rsid w:val="009D7944"/>
    <w:rsid w:val="009D7F25"/>
    <w:rsid w:val="00A1078E"/>
    <w:rsid w:val="00A24534"/>
    <w:rsid w:val="00AC2C9D"/>
    <w:rsid w:val="00B0395F"/>
    <w:rsid w:val="00B12147"/>
    <w:rsid w:val="00B16833"/>
    <w:rsid w:val="00BD0D84"/>
    <w:rsid w:val="00BE3F86"/>
    <w:rsid w:val="00BF5652"/>
    <w:rsid w:val="00C6521E"/>
    <w:rsid w:val="00CD7B90"/>
    <w:rsid w:val="00CF0E4F"/>
    <w:rsid w:val="00DE7915"/>
    <w:rsid w:val="00E42958"/>
    <w:rsid w:val="00E81ACD"/>
    <w:rsid w:val="00E91746"/>
    <w:rsid w:val="00EA3DBB"/>
    <w:rsid w:val="00EC1D18"/>
    <w:rsid w:val="00F31224"/>
    <w:rsid w:val="00F503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B764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1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E3F8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1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E3F8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1921</Words>
  <Characters>10951</Characters>
  <Application>Microsoft Macintosh Word</Application>
  <DocSecurity>0</DocSecurity>
  <Lines>91</Lines>
  <Paragraphs>25</Paragraphs>
  <ScaleCrop>false</ScaleCrop>
  <Company>University of Washington</Company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31</cp:revision>
  <dcterms:created xsi:type="dcterms:W3CDTF">2011-09-05T19:58:00Z</dcterms:created>
  <dcterms:modified xsi:type="dcterms:W3CDTF">2011-10-05T20:12:00Z</dcterms:modified>
</cp:coreProperties>
</file>